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4"/>
      </w:tblGrid>
      <w:tr w:rsidR="00650512" w:rsidTr="00650512">
        <w:tc>
          <w:tcPr>
            <w:tcW w:w="10054" w:type="dxa"/>
            <w:shd w:val="clear" w:color="auto" w:fill="5B9BD5" w:themeFill="accent1"/>
          </w:tcPr>
          <w:p w:rsidR="00BC79AD" w:rsidRDefault="00BC79AD" w:rsidP="00A3401E">
            <w:pPr>
              <w:spacing w:before="120" w:after="120"/>
              <w:contextualSpacing/>
              <w:jc w:val="center"/>
              <w:rPr>
                <w:b/>
                <w:color w:val="FFFFFF" w:themeColor="background1"/>
                <w:sz w:val="36"/>
                <w:szCs w:val="36"/>
              </w:rPr>
            </w:pPr>
            <w:r w:rsidRPr="00650512">
              <w:rPr>
                <w:b/>
                <w:color w:val="FFFFFF" w:themeColor="background1"/>
                <w:sz w:val="36"/>
                <w:szCs w:val="36"/>
              </w:rPr>
              <w:t>GUIDELINE FOR APPLICANTS</w:t>
            </w:r>
            <w:r>
              <w:rPr>
                <w:b/>
                <w:color w:val="FFFFFF" w:themeColor="background1"/>
                <w:sz w:val="36"/>
                <w:szCs w:val="36"/>
              </w:rPr>
              <w:t xml:space="preserve"> </w:t>
            </w:r>
          </w:p>
          <w:p w:rsidR="00650512" w:rsidRPr="00BC79AD" w:rsidRDefault="00604BE3" w:rsidP="00BC79AD">
            <w:pPr>
              <w:spacing w:before="120" w:after="120"/>
              <w:contextualSpacing/>
              <w:jc w:val="center"/>
              <w:rPr>
                <w:b/>
                <w:color w:val="FFFFFF" w:themeColor="background1"/>
                <w:sz w:val="36"/>
                <w:szCs w:val="36"/>
              </w:rPr>
            </w:pPr>
            <w:r>
              <w:rPr>
                <w:b/>
                <w:color w:val="FFFFFF" w:themeColor="background1"/>
                <w:sz w:val="36"/>
                <w:szCs w:val="36"/>
              </w:rPr>
              <w:t xml:space="preserve">SAFE WORK AUSTRALIA SCHOLARS OF WORKER PROTECTION </w:t>
            </w:r>
            <w:r w:rsidR="00BC79AD">
              <w:rPr>
                <w:b/>
                <w:color w:val="FFFFFF" w:themeColor="background1"/>
                <w:sz w:val="36"/>
                <w:szCs w:val="36"/>
              </w:rPr>
              <w:t xml:space="preserve">       - </w:t>
            </w:r>
            <w:r w:rsidRPr="00BC79AD">
              <w:rPr>
                <w:b/>
                <w:color w:val="FFFFFF" w:themeColor="background1"/>
                <w:sz w:val="36"/>
                <w:szCs w:val="36"/>
              </w:rPr>
              <w:t>AIOH CONFERENCE</w:t>
            </w:r>
            <w:r w:rsidR="00A3401E" w:rsidRPr="00BC79AD">
              <w:rPr>
                <w:b/>
                <w:color w:val="FFFFFF" w:themeColor="background1"/>
                <w:sz w:val="36"/>
                <w:szCs w:val="36"/>
              </w:rPr>
              <w:t xml:space="preserve"> AWARD</w:t>
            </w:r>
            <w:r w:rsidR="009947E7" w:rsidRPr="00BC79AD">
              <w:rPr>
                <w:b/>
                <w:color w:val="FFFFFF" w:themeColor="background1"/>
                <w:sz w:val="36"/>
                <w:szCs w:val="36"/>
              </w:rPr>
              <w:t xml:space="preserve"> </w:t>
            </w:r>
            <w:r w:rsidR="00BC79AD" w:rsidRPr="00BC79AD">
              <w:rPr>
                <w:b/>
                <w:color w:val="FFFFFF" w:themeColor="background1"/>
                <w:sz w:val="36"/>
                <w:szCs w:val="36"/>
              </w:rPr>
              <w:t xml:space="preserve"> </w:t>
            </w:r>
          </w:p>
        </w:tc>
      </w:tr>
    </w:tbl>
    <w:p w:rsidR="00153706" w:rsidRDefault="00153706" w:rsidP="00153706">
      <w:pPr>
        <w:spacing w:before="240" w:after="120" w:line="240" w:lineRule="auto"/>
        <w:contextualSpacing/>
        <w:rPr>
          <w:sz w:val="20"/>
          <w:szCs w:val="20"/>
        </w:rPr>
      </w:pPr>
    </w:p>
    <w:p w:rsidR="00115DF1" w:rsidRPr="00147971" w:rsidRDefault="00115DF1" w:rsidP="00686C56">
      <w:pPr>
        <w:spacing w:before="120" w:after="120" w:line="240" w:lineRule="auto"/>
        <w:rPr>
          <w:sz w:val="20"/>
          <w:szCs w:val="20"/>
        </w:rPr>
      </w:pPr>
      <w:r w:rsidRPr="00147971">
        <w:rPr>
          <w:sz w:val="20"/>
          <w:szCs w:val="20"/>
        </w:rPr>
        <w:t xml:space="preserve">Sponsored by </w:t>
      </w:r>
      <w:r w:rsidR="00604BE3" w:rsidRPr="00147971">
        <w:rPr>
          <w:rFonts w:cs="Segoe UI"/>
          <w:sz w:val="20"/>
          <w:szCs w:val="20"/>
        </w:rPr>
        <w:t>Safe Work Australia, the Scholars of Worker Protection – AIOH Conference Award</w:t>
      </w:r>
      <w:r w:rsidRPr="00147971">
        <w:rPr>
          <w:sz w:val="20"/>
          <w:szCs w:val="20"/>
        </w:rPr>
        <w:t xml:space="preserve"> is designed to facilitate the attendance at the annual AIOH Conference of a </w:t>
      </w:r>
      <w:r w:rsidR="00604BE3" w:rsidRPr="00147971">
        <w:rPr>
          <w:sz w:val="20"/>
          <w:szCs w:val="20"/>
        </w:rPr>
        <w:t>“scholarly</w:t>
      </w:r>
      <w:r w:rsidRPr="00147971">
        <w:rPr>
          <w:sz w:val="20"/>
          <w:szCs w:val="20"/>
        </w:rPr>
        <w:t>” member of the Australian Institute of Occupational Hygienists® (AIOH).</w:t>
      </w:r>
      <w:r w:rsidR="00604BE3" w:rsidRPr="00147971">
        <w:rPr>
          <w:sz w:val="20"/>
          <w:szCs w:val="20"/>
        </w:rPr>
        <w:t xml:space="preserve"> </w:t>
      </w:r>
    </w:p>
    <w:p w:rsidR="0085266E" w:rsidRPr="00147971" w:rsidRDefault="0085266E" w:rsidP="00686C56">
      <w:pPr>
        <w:spacing w:before="120" w:after="120" w:line="240" w:lineRule="auto"/>
        <w:rPr>
          <w:sz w:val="20"/>
          <w:szCs w:val="20"/>
        </w:rPr>
      </w:pPr>
      <w:r w:rsidRPr="00147971">
        <w:rPr>
          <w:rFonts w:cs="Georgia"/>
          <w:bCs/>
          <w:sz w:val="20"/>
          <w:szCs w:val="20"/>
        </w:rPr>
        <w:t>The primary function is to provide for the development and delivery of enhanced opportunities for scholarly development of existing and future  AIOH® members to assist them in widening their experience and knowledge of occupational hygiene activities by meeting, observing, sharing and learning with other professionals in a national arena.</w:t>
      </w:r>
    </w:p>
    <w:p w:rsidR="00115DF1" w:rsidRPr="00147971" w:rsidRDefault="00BC79AD" w:rsidP="00686C56">
      <w:pPr>
        <w:spacing w:before="120" w:after="120" w:line="240" w:lineRule="auto"/>
        <w:rPr>
          <w:sz w:val="20"/>
          <w:szCs w:val="20"/>
        </w:rPr>
      </w:pPr>
      <w:r w:rsidRPr="00147971">
        <w:rPr>
          <w:sz w:val="20"/>
          <w:szCs w:val="20"/>
        </w:rPr>
        <w:t>Up to three (3)</w:t>
      </w:r>
      <w:r w:rsidR="00604BE3" w:rsidRPr="00147971">
        <w:rPr>
          <w:sz w:val="20"/>
          <w:szCs w:val="20"/>
        </w:rPr>
        <w:t xml:space="preserve"> award</w:t>
      </w:r>
      <w:r w:rsidRPr="00147971">
        <w:rPr>
          <w:sz w:val="20"/>
          <w:szCs w:val="20"/>
        </w:rPr>
        <w:t xml:space="preserve">s are available each </w:t>
      </w:r>
      <w:r w:rsidR="0085266E" w:rsidRPr="00147971">
        <w:rPr>
          <w:sz w:val="20"/>
          <w:szCs w:val="20"/>
        </w:rPr>
        <w:t xml:space="preserve">year </w:t>
      </w:r>
      <w:r w:rsidRPr="00147971">
        <w:rPr>
          <w:sz w:val="20"/>
          <w:szCs w:val="20"/>
        </w:rPr>
        <w:t>to</w:t>
      </w:r>
      <w:r w:rsidR="00604BE3" w:rsidRPr="00147971">
        <w:rPr>
          <w:sz w:val="20"/>
          <w:szCs w:val="20"/>
        </w:rPr>
        <w:t xml:space="preserve"> </w:t>
      </w:r>
      <w:r w:rsidRPr="00147971">
        <w:rPr>
          <w:sz w:val="20"/>
          <w:szCs w:val="20"/>
        </w:rPr>
        <w:t>provide</w:t>
      </w:r>
      <w:r w:rsidR="00115DF1" w:rsidRPr="00147971">
        <w:rPr>
          <w:sz w:val="20"/>
          <w:szCs w:val="20"/>
        </w:rPr>
        <w:t xml:space="preserve"> </w:t>
      </w:r>
      <w:r w:rsidR="00604BE3" w:rsidRPr="00147971">
        <w:rPr>
          <w:sz w:val="20"/>
          <w:szCs w:val="20"/>
        </w:rPr>
        <w:t>for</w:t>
      </w:r>
      <w:r w:rsidR="00115DF1" w:rsidRPr="00147971">
        <w:rPr>
          <w:sz w:val="20"/>
          <w:szCs w:val="20"/>
        </w:rPr>
        <w:t xml:space="preserve"> attendance at the AIOH Annual Conference, including:</w:t>
      </w:r>
    </w:p>
    <w:p w:rsidR="00115DF1" w:rsidRPr="00147971" w:rsidRDefault="00115DF1" w:rsidP="00115DF1">
      <w:pPr>
        <w:pStyle w:val="ListParagraph"/>
        <w:numPr>
          <w:ilvl w:val="0"/>
          <w:numId w:val="9"/>
        </w:numPr>
        <w:spacing w:before="120" w:after="120" w:line="240" w:lineRule="auto"/>
        <w:rPr>
          <w:sz w:val="20"/>
          <w:szCs w:val="20"/>
        </w:rPr>
      </w:pPr>
      <w:r w:rsidRPr="00147971">
        <w:rPr>
          <w:sz w:val="20"/>
          <w:szCs w:val="20"/>
        </w:rPr>
        <w:t>The Conference packag</w:t>
      </w:r>
      <w:r w:rsidR="00BC79AD" w:rsidRPr="00147971">
        <w:rPr>
          <w:sz w:val="20"/>
          <w:szCs w:val="20"/>
        </w:rPr>
        <w:t>e which covers registration at the</w:t>
      </w:r>
      <w:r w:rsidRPr="00147971">
        <w:rPr>
          <w:sz w:val="20"/>
          <w:szCs w:val="20"/>
        </w:rPr>
        <w:t xml:space="preserve"> </w:t>
      </w:r>
      <w:r w:rsidR="00F214E8" w:rsidRPr="00147971">
        <w:rPr>
          <w:sz w:val="20"/>
          <w:szCs w:val="20"/>
        </w:rPr>
        <w:t xml:space="preserve">official </w:t>
      </w:r>
      <w:r w:rsidR="00A56A25" w:rsidRPr="00147971">
        <w:rPr>
          <w:sz w:val="20"/>
          <w:szCs w:val="20"/>
        </w:rPr>
        <w:t xml:space="preserve">opening, </w:t>
      </w:r>
      <w:r w:rsidRPr="00147971">
        <w:rPr>
          <w:sz w:val="20"/>
          <w:szCs w:val="20"/>
        </w:rPr>
        <w:t>scientific sessions and the social program</w:t>
      </w:r>
      <w:r w:rsidR="00BC79AD" w:rsidRPr="00147971">
        <w:rPr>
          <w:sz w:val="20"/>
          <w:szCs w:val="20"/>
        </w:rPr>
        <w:t xml:space="preserve"> </w:t>
      </w:r>
      <w:r w:rsidR="00A56A25" w:rsidRPr="00147971">
        <w:rPr>
          <w:sz w:val="20"/>
          <w:szCs w:val="20"/>
        </w:rPr>
        <w:t xml:space="preserve">which includes lunches and evening meals </w:t>
      </w:r>
      <w:r w:rsidR="00BC79AD" w:rsidRPr="00147971">
        <w:rPr>
          <w:sz w:val="20"/>
          <w:szCs w:val="20"/>
        </w:rPr>
        <w:t>at the AIOH Annual Conference</w:t>
      </w:r>
      <w:r w:rsidRPr="00147971">
        <w:rPr>
          <w:sz w:val="20"/>
          <w:szCs w:val="20"/>
        </w:rPr>
        <w:t>.</w:t>
      </w:r>
    </w:p>
    <w:p w:rsidR="00C81DF1" w:rsidRPr="00147971" w:rsidRDefault="00557441" w:rsidP="00557441">
      <w:pPr>
        <w:pStyle w:val="ListParagraph"/>
        <w:numPr>
          <w:ilvl w:val="0"/>
          <w:numId w:val="9"/>
        </w:numPr>
        <w:spacing w:before="120" w:after="240" w:line="240" w:lineRule="auto"/>
        <w:ind w:left="714" w:hanging="357"/>
        <w:rPr>
          <w:sz w:val="20"/>
          <w:szCs w:val="20"/>
        </w:rPr>
      </w:pPr>
      <w:r w:rsidRPr="00147971">
        <w:rPr>
          <w:sz w:val="20"/>
          <w:szCs w:val="20"/>
        </w:rPr>
        <w:t xml:space="preserve">The presentation by </w:t>
      </w:r>
      <w:r w:rsidR="00BC79AD" w:rsidRPr="00147971">
        <w:rPr>
          <w:sz w:val="20"/>
          <w:szCs w:val="20"/>
        </w:rPr>
        <w:t>Safe Work Australia</w:t>
      </w:r>
      <w:r w:rsidRPr="00147971">
        <w:rPr>
          <w:sz w:val="20"/>
          <w:szCs w:val="20"/>
        </w:rPr>
        <w:t xml:space="preserve"> of the Award certificate at the AIOH Conference Dinner.</w:t>
      </w:r>
    </w:p>
    <w:p w:rsidR="00BC79AD" w:rsidRPr="00147971" w:rsidRDefault="00BC79AD" w:rsidP="00557441">
      <w:pPr>
        <w:pStyle w:val="ListParagraph"/>
        <w:numPr>
          <w:ilvl w:val="0"/>
          <w:numId w:val="9"/>
        </w:numPr>
        <w:spacing w:before="120" w:after="240" w:line="240" w:lineRule="auto"/>
        <w:ind w:left="714" w:hanging="357"/>
        <w:rPr>
          <w:sz w:val="20"/>
          <w:szCs w:val="20"/>
        </w:rPr>
      </w:pPr>
      <w:r w:rsidRPr="00147971">
        <w:rPr>
          <w:sz w:val="20"/>
          <w:szCs w:val="20"/>
        </w:rPr>
        <w:t>The Award does not cover attendance at the weekend CES sessions, accommodation at the conference, or travel to or from the conference venue.</w:t>
      </w:r>
    </w:p>
    <w:p w:rsidR="00BE167B" w:rsidRDefault="00BE167B" w:rsidP="00BE167B">
      <w:pPr>
        <w:spacing w:before="120" w:after="240" w:line="240" w:lineRule="auto"/>
        <w:rPr>
          <w:sz w:val="20"/>
          <w:szCs w:val="20"/>
        </w:rPr>
      </w:pPr>
      <w:r w:rsidRPr="00147971">
        <w:rPr>
          <w:sz w:val="20"/>
          <w:szCs w:val="20"/>
        </w:rPr>
        <w:t>Applications close in early September each year and there is the understanding that if successful the applicant will attend the AIOH conference in December the same year.</w:t>
      </w:r>
    </w:p>
    <w:p w:rsidR="00B2034A" w:rsidRPr="00147971" w:rsidRDefault="00B2034A" w:rsidP="00BE167B">
      <w:pPr>
        <w:spacing w:before="120" w:after="240" w:line="240" w:lineRule="auto"/>
        <w:rPr>
          <w:sz w:val="20"/>
          <w:szCs w:val="20"/>
        </w:rPr>
      </w:pPr>
    </w:p>
    <w:tbl>
      <w:tblPr>
        <w:tblStyle w:val="TableGrid"/>
        <w:tblW w:w="0" w:type="auto"/>
        <w:tblLook w:val="04A0" w:firstRow="1" w:lastRow="0" w:firstColumn="1" w:lastColumn="0" w:noHBand="0" w:noVBand="1"/>
      </w:tblPr>
      <w:tblGrid>
        <w:gridCol w:w="10054"/>
      </w:tblGrid>
      <w:tr w:rsidR="00D23FF7" w:rsidTr="00D23FF7">
        <w:tc>
          <w:tcPr>
            <w:tcW w:w="10054" w:type="dxa"/>
            <w:tcBorders>
              <w:top w:val="nil"/>
              <w:left w:val="nil"/>
              <w:bottom w:val="nil"/>
              <w:right w:val="nil"/>
            </w:tcBorders>
            <w:shd w:val="clear" w:color="auto" w:fill="5B9BD5" w:themeFill="accent1"/>
          </w:tcPr>
          <w:p w:rsidR="00D23FF7" w:rsidRPr="00D23FF7" w:rsidRDefault="00D23FF7" w:rsidP="00D23FF7">
            <w:pPr>
              <w:spacing w:before="120" w:after="120"/>
              <w:rPr>
                <w:b/>
                <w:color w:val="FFFFFF" w:themeColor="background1"/>
                <w:sz w:val="28"/>
                <w:szCs w:val="28"/>
              </w:rPr>
            </w:pPr>
            <w:r>
              <w:rPr>
                <w:b/>
                <w:color w:val="FFFFFF" w:themeColor="background1"/>
                <w:sz w:val="28"/>
                <w:szCs w:val="28"/>
              </w:rPr>
              <w:t>ELIGIBILITY</w:t>
            </w:r>
          </w:p>
        </w:tc>
      </w:tr>
    </w:tbl>
    <w:p w:rsidR="00557441" w:rsidRPr="00147971" w:rsidRDefault="00557441" w:rsidP="003265CB">
      <w:pPr>
        <w:spacing w:before="120" w:after="240" w:line="240" w:lineRule="auto"/>
        <w:jc w:val="both"/>
        <w:rPr>
          <w:sz w:val="20"/>
          <w:szCs w:val="20"/>
        </w:rPr>
      </w:pPr>
      <w:r w:rsidRPr="00147971">
        <w:rPr>
          <w:sz w:val="20"/>
          <w:szCs w:val="20"/>
        </w:rPr>
        <w:t xml:space="preserve">Any financial full fee paying member of the AIOH </w:t>
      </w:r>
      <w:r w:rsidR="007E4937" w:rsidRPr="00147971">
        <w:rPr>
          <w:sz w:val="20"/>
          <w:szCs w:val="20"/>
        </w:rPr>
        <w:t xml:space="preserve">undertaking scholarly studies </w:t>
      </w:r>
      <w:r w:rsidR="00147971" w:rsidRPr="00147971">
        <w:rPr>
          <w:sz w:val="20"/>
          <w:szCs w:val="20"/>
        </w:rPr>
        <w:t xml:space="preserve">of academic instruction rather than pure or applied research </w:t>
      </w:r>
      <w:r w:rsidR="007E4937" w:rsidRPr="00147971">
        <w:rPr>
          <w:sz w:val="20"/>
          <w:szCs w:val="20"/>
        </w:rPr>
        <w:t xml:space="preserve">in occupational hygiene </w:t>
      </w:r>
      <w:r w:rsidRPr="00147971">
        <w:rPr>
          <w:sz w:val="20"/>
          <w:szCs w:val="20"/>
        </w:rPr>
        <w:t>is eligible to apply</w:t>
      </w:r>
      <w:r w:rsidR="00147971" w:rsidRPr="00147971">
        <w:rPr>
          <w:sz w:val="20"/>
          <w:szCs w:val="20"/>
        </w:rPr>
        <w:t>. F</w:t>
      </w:r>
      <w:r w:rsidR="003265CB" w:rsidRPr="00147971">
        <w:rPr>
          <w:sz w:val="20"/>
          <w:szCs w:val="20"/>
        </w:rPr>
        <w:t xml:space="preserve">or scholars who are not AIOH members but studying with an AIOH Accredited Course the AIOH will provide successful awardees the status </w:t>
      </w:r>
      <w:r w:rsidR="00BE1C59">
        <w:rPr>
          <w:sz w:val="20"/>
          <w:szCs w:val="20"/>
        </w:rPr>
        <w:t>of Student membership at no charge</w:t>
      </w:r>
      <w:bookmarkStart w:id="0" w:name="_GoBack"/>
      <w:bookmarkEnd w:id="0"/>
      <w:r w:rsidR="003265CB" w:rsidRPr="00147971">
        <w:rPr>
          <w:sz w:val="20"/>
          <w:szCs w:val="20"/>
        </w:rPr>
        <w:t xml:space="preserve"> for the current financial year. Employees of Safe Work</w:t>
      </w:r>
      <w:r w:rsidRPr="00147971">
        <w:rPr>
          <w:sz w:val="20"/>
          <w:szCs w:val="20"/>
        </w:rPr>
        <w:t xml:space="preserve"> Australia </w:t>
      </w:r>
      <w:r w:rsidR="003265CB" w:rsidRPr="00147971">
        <w:rPr>
          <w:sz w:val="20"/>
          <w:szCs w:val="20"/>
        </w:rPr>
        <w:t>and members of their families</w:t>
      </w:r>
      <w:r w:rsidRPr="00147971">
        <w:rPr>
          <w:sz w:val="20"/>
          <w:szCs w:val="20"/>
        </w:rPr>
        <w:t>, as well as members of the AIOH Council and the AIOH Awards and Sponsorship Committee</w:t>
      </w:r>
      <w:r w:rsidR="003265CB" w:rsidRPr="00147971">
        <w:rPr>
          <w:sz w:val="20"/>
          <w:szCs w:val="20"/>
        </w:rPr>
        <w:t xml:space="preserve"> are ineligible</w:t>
      </w:r>
      <w:r w:rsidRPr="00147971">
        <w:rPr>
          <w:sz w:val="20"/>
          <w:szCs w:val="20"/>
        </w:rPr>
        <w:t>.</w:t>
      </w:r>
    </w:p>
    <w:p w:rsidR="00F214E8" w:rsidRPr="00147971" w:rsidRDefault="0085266E" w:rsidP="00F214E8">
      <w:pPr>
        <w:spacing w:after="200" w:line="276" w:lineRule="auto"/>
        <w:jc w:val="both"/>
        <w:rPr>
          <w:rFonts w:cs="Georgia"/>
          <w:bCs/>
          <w:sz w:val="20"/>
          <w:szCs w:val="20"/>
        </w:rPr>
      </w:pPr>
      <w:r w:rsidRPr="00147971">
        <w:rPr>
          <w:rFonts w:cs="Georgia"/>
          <w:bCs/>
          <w:sz w:val="20"/>
          <w:szCs w:val="20"/>
        </w:rPr>
        <w:t>The Sponsorship and Award is provided without actual and or expectations of past, current or future business activity, inducements or perceived inducements between AIOH®, Safe Work Australia, and the Awardee. It is the responsibility for intending Applicants to approach and clear all potential issues with their employee and their conditions of employment prior to applying.</w:t>
      </w:r>
      <w:r w:rsidR="00F214E8" w:rsidRPr="00147971">
        <w:rPr>
          <w:rFonts w:cs="Georgia"/>
          <w:bCs/>
          <w:sz w:val="20"/>
          <w:szCs w:val="20"/>
        </w:rPr>
        <w:t xml:space="preserve"> </w:t>
      </w:r>
    </w:p>
    <w:p w:rsidR="00F214E8" w:rsidRPr="00147971" w:rsidRDefault="00F214E8" w:rsidP="00F214E8">
      <w:pPr>
        <w:spacing w:after="200" w:line="276" w:lineRule="auto"/>
        <w:jc w:val="both"/>
        <w:rPr>
          <w:rFonts w:cs="Georgia"/>
          <w:sz w:val="20"/>
          <w:szCs w:val="20"/>
        </w:rPr>
      </w:pPr>
      <w:r w:rsidRPr="00147971">
        <w:rPr>
          <w:rFonts w:cs="Georgia"/>
          <w:sz w:val="20"/>
          <w:szCs w:val="20"/>
        </w:rPr>
        <w:t>A declaration of the source of funding for travel to and accommodation at the conference is to be included. No professional side travel beyond that allowed in the award conditions, no overstays or no associated holidays will be allowed to be attached to the period prior to or post attendance at the AIOH® Conference.</w:t>
      </w:r>
    </w:p>
    <w:p w:rsidR="0085266E" w:rsidRPr="0085266E" w:rsidRDefault="0085266E" w:rsidP="0085266E">
      <w:pPr>
        <w:spacing w:line="276" w:lineRule="auto"/>
        <w:rPr>
          <w:rFonts w:cs="Georgia"/>
          <w:bCs/>
          <w:color w:val="FF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1"/>
        <w:tblLook w:val="04A0" w:firstRow="1" w:lastRow="0" w:firstColumn="1" w:lastColumn="0" w:noHBand="0" w:noVBand="1"/>
      </w:tblPr>
      <w:tblGrid>
        <w:gridCol w:w="10054"/>
      </w:tblGrid>
      <w:tr w:rsidR="00C848BB" w:rsidTr="00C848BB">
        <w:tc>
          <w:tcPr>
            <w:tcW w:w="10054" w:type="dxa"/>
            <w:shd w:val="clear" w:color="auto" w:fill="5B9BD5" w:themeFill="accent1"/>
          </w:tcPr>
          <w:p w:rsidR="00C848BB" w:rsidRPr="00C848BB" w:rsidRDefault="00C848BB" w:rsidP="00D23FF7">
            <w:pPr>
              <w:spacing w:before="120" w:after="120"/>
              <w:rPr>
                <w:b/>
                <w:sz w:val="28"/>
                <w:szCs w:val="28"/>
              </w:rPr>
            </w:pPr>
            <w:r w:rsidRPr="00C848BB">
              <w:rPr>
                <w:b/>
                <w:color w:val="FFFFFF" w:themeColor="background1"/>
                <w:sz w:val="28"/>
                <w:szCs w:val="28"/>
              </w:rPr>
              <w:t>THE APPLICATION PROCESS</w:t>
            </w:r>
          </w:p>
        </w:tc>
      </w:tr>
    </w:tbl>
    <w:p w:rsidR="00C81DF1" w:rsidRPr="00147971" w:rsidRDefault="0082359A" w:rsidP="00B7160B">
      <w:pPr>
        <w:spacing w:before="240" w:after="120" w:line="240" w:lineRule="auto"/>
        <w:jc w:val="both"/>
        <w:rPr>
          <w:sz w:val="20"/>
          <w:szCs w:val="20"/>
        </w:rPr>
      </w:pPr>
      <w:r w:rsidRPr="00147971">
        <w:rPr>
          <w:sz w:val="20"/>
          <w:szCs w:val="20"/>
        </w:rPr>
        <w:t>Applications must be made using the electronic Application Form available on the AIOH website (</w:t>
      </w:r>
      <w:hyperlink r:id="rId7" w:history="1">
        <w:r w:rsidRPr="00147971">
          <w:rPr>
            <w:rStyle w:val="Hyperlink"/>
            <w:sz w:val="20"/>
            <w:szCs w:val="20"/>
          </w:rPr>
          <w:t>www.aioh.org.au</w:t>
        </w:r>
      </w:hyperlink>
      <w:r w:rsidRPr="00147971">
        <w:rPr>
          <w:sz w:val="20"/>
          <w:szCs w:val="20"/>
        </w:rPr>
        <w:t xml:space="preserve">).  </w:t>
      </w:r>
      <w:r w:rsidR="00B7160B" w:rsidRPr="00147971">
        <w:rPr>
          <w:sz w:val="20"/>
          <w:szCs w:val="20"/>
        </w:rPr>
        <w:t>Read and understand the accompanying documents, f</w:t>
      </w:r>
      <w:r w:rsidRPr="00147971">
        <w:rPr>
          <w:sz w:val="20"/>
          <w:szCs w:val="20"/>
        </w:rPr>
        <w:t xml:space="preserve">ill in the form, scan and attach the required documents/reports, make a copy for your own records, then submit electronically to the AIOH Office.  </w:t>
      </w:r>
      <w:r w:rsidRPr="00147971">
        <w:rPr>
          <w:b/>
          <w:i/>
          <w:sz w:val="20"/>
          <w:szCs w:val="20"/>
        </w:rPr>
        <w:t>Hard copies of the Form or attachments will not be accepted.</w:t>
      </w:r>
    </w:p>
    <w:p w:rsidR="00BE167B" w:rsidRPr="00147971" w:rsidRDefault="00BE167B" w:rsidP="00B7160B">
      <w:pPr>
        <w:spacing w:before="120" w:after="240" w:line="240" w:lineRule="auto"/>
        <w:jc w:val="both"/>
        <w:rPr>
          <w:sz w:val="20"/>
          <w:szCs w:val="20"/>
        </w:rPr>
      </w:pPr>
      <w:r w:rsidRPr="00147971">
        <w:rPr>
          <w:sz w:val="20"/>
          <w:szCs w:val="20"/>
        </w:rPr>
        <w:t>Each applicant should complete the application form, which seeks details of background, qualifications and experience, and also a reasoned case f</w:t>
      </w:r>
      <w:r w:rsidR="0085266E" w:rsidRPr="00147971">
        <w:rPr>
          <w:sz w:val="20"/>
          <w:szCs w:val="20"/>
        </w:rPr>
        <w:t>or his/her selection as being a</w:t>
      </w:r>
      <w:r w:rsidRPr="00147971">
        <w:rPr>
          <w:color w:val="00B050"/>
          <w:sz w:val="20"/>
          <w:szCs w:val="20"/>
        </w:rPr>
        <w:t xml:space="preserve"> </w:t>
      </w:r>
      <w:r w:rsidR="00147971" w:rsidRPr="00147971">
        <w:rPr>
          <w:sz w:val="20"/>
          <w:szCs w:val="20"/>
        </w:rPr>
        <w:t>recipient of</w:t>
      </w:r>
      <w:r w:rsidRPr="00147971">
        <w:rPr>
          <w:sz w:val="20"/>
          <w:szCs w:val="20"/>
        </w:rPr>
        <w:t xml:space="preserve"> the award.</w:t>
      </w:r>
    </w:p>
    <w:p w:rsidR="00BE167B" w:rsidRPr="00147971" w:rsidRDefault="00773505" w:rsidP="00B7160B">
      <w:pPr>
        <w:spacing w:before="120" w:after="240" w:line="240" w:lineRule="auto"/>
        <w:jc w:val="both"/>
        <w:rPr>
          <w:sz w:val="20"/>
          <w:szCs w:val="20"/>
        </w:rPr>
      </w:pPr>
      <w:r w:rsidRPr="00147971">
        <w:rPr>
          <w:sz w:val="20"/>
          <w:szCs w:val="20"/>
        </w:rPr>
        <w:lastRenderedPageBreak/>
        <w:t>Factors which are not necessarily tangible and which would assist the cause of the Committe</w:t>
      </w:r>
      <w:r w:rsidR="0085266E" w:rsidRPr="00147971">
        <w:rPr>
          <w:sz w:val="20"/>
          <w:szCs w:val="20"/>
        </w:rPr>
        <w:t>e in determining the suitability of the application</w:t>
      </w:r>
      <w:r w:rsidRPr="00147971">
        <w:rPr>
          <w:sz w:val="20"/>
          <w:szCs w:val="20"/>
        </w:rPr>
        <w:t xml:space="preserve"> include</w:t>
      </w:r>
      <w:r w:rsidR="0085266E" w:rsidRPr="00147971">
        <w:rPr>
          <w:sz w:val="20"/>
          <w:szCs w:val="20"/>
        </w:rPr>
        <w:t xml:space="preserve"> but are not restricted to</w:t>
      </w:r>
      <w:r w:rsidRPr="00147971">
        <w:rPr>
          <w:sz w:val="20"/>
          <w:szCs w:val="20"/>
        </w:rPr>
        <w:t>:</w:t>
      </w:r>
    </w:p>
    <w:p w:rsidR="00147971" w:rsidRPr="00147971" w:rsidRDefault="00147971" w:rsidP="00147971">
      <w:pPr>
        <w:pStyle w:val="ListParagraph"/>
        <w:numPr>
          <w:ilvl w:val="0"/>
          <w:numId w:val="10"/>
        </w:numPr>
        <w:spacing w:before="120" w:after="120" w:line="240" w:lineRule="auto"/>
        <w:jc w:val="both"/>
        <w:rPr>
          <w:sz w:val="20"/>
          <w:szCs w:val="20"/>
        </w:rPr>
      </w:pPr>
      <w:r w:rsidRPr="00147971">
        <w:rPr>
          <w:sz w:val="20"/>
          <w:szCs w:val="20"/>
        </w:rPr>
        <w:t>Sound academic progress.</w:t>
      </w:r>
    </w:p>
    <w:p w:rsidR="00773505" w:rsidRPr="00147971" w:rsidRDefault="00773505" w:rsidP="00B7160B">
      <w:pPr>
        <w:pStyle w:val="ListParagraph"/>
        <w:numPr>
          <w:ilvl w:val="0"/>
          <w:numId w:val="10"/>
        </w:numPr>
        <w:spacing w:before="120" w:after="240" w:line="240" w:lineRule="auto"/>
        <w:jc w:val="both"/>
        <w:rPr>
          <w:sz w:val="20"/>
          <w:szCs w:val="20"/>
        </w:rPr>
      </w:pPr>
      <w:r w:rsidRPr="00147971">
        <w:rPr>
          <w:sz w:val="20"/>
          <w:szCs w:val="20"/>
        </w:rPr>
        <w:t>Hardship in the sense that your employer has declined to financially support your attendance.</w:t>
      </w:r>
    </w:p>
    <w:p w:rsidR="00773505" w:rsidRPr="00147971" w:rsidRDefault="00773505" w:rsidP="0085266E">
      <w:pPr>
        <w:pStyle w:val="ListParagraph"/>
        <w:numPr>
          <w:ilvl w:val="0"/>
          <w:numId w:val="10"/>
        </w:numPr>
        <w:spacing w:before="120" w:after="240" w:line="240" w:lineRule="auto"/>
        <w:jc w:val="both"/>
        <w:rPr>
          <w:sz w:val="20"/>
          <w:szCs w:val="20"/>
        </w:rPr>
      </w:pPr>
      <w:r w:rsidRPr="00147971">
        <w:rPr>
          <w:sz w:val="20"/>
          <w:szCs w:val="20"/>
        </w:rPr>
        <w:t>A specific (and demonstrated) interest in a subject which will be covered at the AIOH conference, in either the scientific program or a personal development course.</w:t>
      </w:r>
    </w:p>
    <w:p w:rsidR="00773505" w:rsidRPr="00147971" w:rsidRDefault="00773505" w:rsidP="00B7160B">
      <w:pPr>
        <w:pStyle w:val="ListParagraph"/>
        <w:numPr>
          <w:ilvl w:val="0"/>
          <w:numId w:val="1"/>
        </w:numPr>
        <w:spacing w:before="120" w:after="120" w:line="240" w:lineRule="auto"/>
        <w:ind w:left="714" w:hanging="357"/>
        <w:jc w:val="both"/>
        <w:rPr>
          <w:sz w:val="20"/>
          <w:szCs w:val="20"/>
        </w:rPr>
      </w:pPr>
      <w:r w:rsidRPr="00147971">
        <w:rPr>
          <w:sz w:val="20"/>
          <w:szCs w:val="20"/>
        </w:rPr>
        <w:t>Demonstrated enthusiasm for, and commitment to, the field of occupational hygiene.</w:t>
      </w:r>
    </w:p>
    <w:p w:rsidR="00153706" w:rsidRDefault="00153706" w:rsidP="00B7160B">
      <w:pPr>
        <w:spacing w:before="120" w:after="240" w:line="240" w:lineRule="auto"/>
        <w:ind w:left="357"/>
        <w:jc w:val="both"/>
        <w:rPr>
          <w:sz w:val="20"/>
          <w:szCs w:val="20"/>
        </w:rPr>
      </w:pPr>
      <w:r w:rsidRPr="00773505">
        <w:rPr>
          <w:sz w:val="20"/>
          <w:szCs w:val="20"/>
        </w:rPr>
        <w:t>Applicants will be asked to read and accept with a signature the terms of the Award including that they have approached their employer in regard to the issue of potential inducement or perceived inducement and their conditions of employment.</w:t>
      </w:r>
    </w:p>
    <w:p w:rsidR="00773505" w:rsidRDefault="00773505" w:rsidP="00B7160B">
      <w:pPr>
        <w:spacing w:before="120" w:after="240" w:line="240" w:lineRule="auto"/>
        <w:ind w:left="357"/>
        <w:jc w:val="both"/>
        <w:rPr>
          <w:sz w:val="20"/>
          <w:szCs w:val="20"/>
        </w:rPr>
      </w:pPr>
      <w:r>
        <w:rPr>
          <w:sz w:val="20"/>
          <w:szCs w:val="20"/>
        </w:rPr>
        <w:t>Please feel free to contact the members of the AIOH Awards and Sponsorship Committee to clarify any of the earlier points or to seek information when making your application.  The Committee is committed to assisting in the professional and academic advancement of AIOH members and has adopted a position of open and frank discussion with intending applicants, including suggesting contact with past award winners.</w:t>
      </w:r>
    </w:p>
    <w:p w:rsidR="00773505" w:rsidRDefault="00773505" w:rsidP="00B7160B">
      <w:pPr>
        <w:spacing w:before="120" w:after="240" w:line="240" w:lineRule="auto"/>
        <w:ind w:left="357"/>
        <w:jc w:val="both"/>
        <w:rPr>
          <w:sz w:val="20"/>
          <w:szCs w:val="20"/>
        </w:rPr>
      </w:pPr>
      <w:r>
        <w:rPr>
          <w:sz w:val="20"/>
          <w:szCs w:val="20"/>
        </w:rPr>
        <w:t>The Awards and Sponsorship Committee around October each year considers each application for the Award and ranks them according to the above merits, It then makes its’ recommendation to the AIOH Council.</w:t>
      </w:r>
    </w:p>
    <w:p w:rsidR="00773505" w:rsidRDefault="00773505" w:rsidP="00B7160B">
      <w:pPr>
        <w:spacing w:before="120" w:after="240" w:line="240" w:lineRule="auto"/>
        <w:ind w:left="357"/>
        <w:jc w:val="both"/>
        <w:rPr>
          <w:sz w:val="20"/>
          <w:szCs w:val="20"/>
        </w:rPr>
      </w:pPr>
      <w:r>
        <w:rPr>
          <w:sz w:val="20"/>
          <w:szCs w:val="20"/>
        </w:rPr>
        <w:t>The AIOH reserves the right to withhold the award if, in the opinion of the AIOH Council, none of the applicants meet the required standards.</w:t>
      </w:r>
    </w:p>
    <w:p w:rsidR="00D00656" w:rsidRPr="00D00656" w:rsidRDefault="00D00656" w:rsidP="00D00656">
      <w:pPr>
        <w:spacing w:line="276" w:lineRule="auto"/>
        <w:rPr>
          <w:rFonts w:cs="Georgia"/>
          <w:bCs/>
          <w:color w:val="FF0000"/>
        </w:rPr>
      </w:pPr>
    </w:p>
    <w:p w:rsidR="00D00656" w:rsidRPr="00773505" w:rsidRDefault="00D00656" w:rsidP="00B7160B">
      <w:pPr>
        <w:spacing w:before="120" w:after="240" w:line="240" w:lineRule="auto"/>
        <w:ind w:left="357"/>
        <w:jc w:val="both"/>
        <w:rPr>
          <w:sz w:val="20"/>
          <w:szCs w:val="20"/>
        </w:rPr>
      </w:pPr>
    </w:p>
    <w:sectPr w:rsidR="00D00656" w:rsidRPr="00773505" w:rsidSect="00736349">
      <w:headerReference w:type="default" r:id="rId8"/>
      <w:footerReference w:type="default" r:id="rId9"/>
      <w:pgSz w:w="11906" w:h="16838"/>
      <w:pgMar w:top="1276" w:right="849" w:bottom="1440" w:left="993"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5C6" w:rsidRDefault="005A65C6" w:rsidP="00FA252E">
      <w:pPr>
        <w:spacing w:after="0" w:line="240" w:lineRule="auto"/>
      </w:pPr>
      <w:r>
        <w:separator/>
      </w:r>
    </w:p>
  </w:endnote>
  <w:endnote w:type="continuationSeparator" w:id="0">
    <w:p w:rsidR="005A65C6" w:rsidRDefault="005A65C6" w:rsidP="00FA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6605883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FD7D99" w:rsidRPr="00FD7D99" w:rsidRDefault="00FD7D99" w:rsidP="00FD7D99">
            <w:pPr>
              <w:pStyle w:val="Footer"/>
              <w:jc w:val="right"/>
              <w:rPr>
                <w:sz w:val="18"/>
                <w:szCs w:val="18"/>
              </w:rPr>
            </w:pPr>
            <w:r w:rsidRPr="00FD7D99">
              <w:rPr>
                <w:sz w:val="18"/>
                <w:szCs w:val="18"/>
              </w:rPr>
              <w:t xml:space="preserve">Page </w:t>
            </w:r>
            <w:r w:rsidRPr="00FD7D99">
              <w:rPr>
                <w:b/>
                <w:bCs/>
                <w:sz w:val="18"/>
                <w:szCs w:val="18"/>
              </w:rPr>
              <w:fldChar w:fldCharType="begin"/>
            </w:r>
            <w:r w:rsidRPr="00FD7D99">
              <w:rPr>
                <w:b/>
                <w:bCs/>
                <w:sz w:val="18"/>
                <w:szCs w:val="18"/>
              </w:rPr>
              <w:instrText xml:space="preserve"> PAGE </w:instrText>
            </w:r>
            <w:r w:rsidRPr="00FD7D99">
              <w:rPr>
                <w:b/>
                <w:bCs/>
                <w:sz w:val="18"/>
                <w:szCs w:val="18"/>
              </w:rPr>
              <w:fldChar w:fldCharType="separate"/>
            </w:r>
            <w:r w:rsidR="00BE1C59">
              <w:rPr>
                <w:b/>
                <w:bCs/>
                <w:noProof/>
                <w:sz w:val="18"/>
                <w:szCs w:val="18"/>
              </w:rPr>
              <w:t>1</w:t>
            </w:r>
            <w:r w:rsidRPr="00FD7D99">
              <w:rPr>
                <w:b/>
                <w:bCs/>
                <w:sz w:val="18"/>
                <w:szCs w:val="18"/>
              </w:rPr>
              <w:fldChar w:fldCharType="end"/>
            </w:r>
            <w:r w:rsidRPr="00FD7D99">
              <w:rPr>
                <w:sz w:val="18"/>
                <w:szCs w:val="18"/>
              </w:rPr>
              <w:t xml:space="preserve"> of </w:t>
            </w:r>
            <w:r w:rsidRPr="00FD7D99">
              <w:rPr>
                <w:b/>
                <w:bCs/>
                <w:sz w:val="18"/>
                <w:szCs w:val="18"/>
              </w:rPr>
              <w:fldChar w:fldCharType="begin"/>
            </w:r>
            <w:r w:rsidRPr="00FD7D99">
              <w:rPr>
                <w:b/>
                <w:bCs/>
                <w:sz w:val="18"/>
                <w:szCs w:val="18"/>
              </w:rPr>
              <w:instrText xml:space="preserve"> NUMPAGES  </w:instrText>
            </w:r>
            <w:r w:rsidRPr="00FD7D99">
              <w:rPr>
                <w:b/>
                <w:bCs/>
                <w:sz w:val="18"/>
                <w:szCs w:val="18"/>
              </w:rPr>
              <w:fldChar w:fldCharType="separate"/>
            </w:r>
            <w:r w:rsidR="00BE1C59">
              <w:rPr>
                <w:b/>
                <w:bCs/>
                <w:noProof/>
                <w:sz w:val="18"/>
                <w:szCs w:val="18"/>
              </w:rPr>
              <w:t>2</w:t>
            </w:r>
            <w:r w:rsidRPr="00FD7D99">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5C6" w:rsidRDefault="005A65C6" w:rsidP="00FA252E">
      <w:pPr>
        <w:spacing w:after="0" w:line="240" w:lineRule="auto"/>
      </w:pPr>
      <w:r>
        <w:separator/>
      </w:r>
    </w:p>
  </w:footnote>
  <w:footnote w:type="continuationSeparator" w:id="0">
    <w:p w:rsidR="005A65C6" w:rsidRDefault="005A65C6" w:rsidP="00FA25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8BB" w:rsidRPr="00736349" w:rsidRDefault="00B16A5D" w:rsidP="00604BE3">
    <w:pPr>
      <w:pStyle w:val="Header"/>
      <w:tabs>
        <w:tab w:val="clear" w:pos="9026"/>
        <w:tab w:val="right" w:pos="10064"/>
      </w:tabs>
      <w:jc w:val="right"/>
      <w:rPr>
        <w:sz w:val="18"/>
        <w:szCs w:val="18"/>
      </w:rPr>
    </w:pPr>
    <w:r w:rsidRPr="00736349">
      <w:rPr>
        <w:noProof/>
        <w:sz w:val="18"/>
        <w:szCs w:val="18"/>
        <w:lang w:eastAsia="en-AU"/>
      </w:rPr>
      <w:drawing>
        <wp:anchor distT="0" distB="0" distL="114300" distR="114300" simplePos="0" relativeHeight="251662336" behindDoc="1" locked="0" layoutInCell="1" allowOverlap="1" wp14:anchorId="65E4DB5A" wp14:editId="17BFFD37">
          <wp:simplePos x="0" y="0"/>
          <wp:positionH relativeFrom="column">
            <wp:posOffset>57785</wp:posOffset>
          </wp:positionH>
          <wp:positionV relativeFrom="paragraph">
            <wp:posOffset>1270</wp:posOffset>
          </wp:positionV>
          <wp:extent cx="2009954" cy="395216"/>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OH-Full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954" cy="395216"/>
                  </a:xfrm>
                  <a:prstGeom prst="rect">
                    <a:avLst/>
                  </a:prstGeom>
                </pic:spPr>
              </pic:pic>
            </a:graphicData>
          </a:graphic>
          <wp14:sizeRelH relativeFrom="margin">
            <wp14:pctWidth>0</wp14:pctWidth>
          </wp14:sizeRelH>
          <wp14:sizeRelV relativeFrom="margin">
            <wp14:pctHeight>0</wp14:pctHeight>
          </wp14:sizeRelV>
        </wp:anchor>
      </w:drawing>
    </w:r>
    <w:r w:rsidR="00604BE3">
      <w:rPr>
        <w:sz w:val="18"/>
        <w:szCs w:val="18"/>
      </w:rPr>
      <w:tab/>
      <w:t xml:space="preserve">     Safe Work Australia Scholars of Worker protection</w:t>
    </w:r>
    <w:r w:rsidR="00D86204">
      <w:rPr>
        <w:sz w:val="18"/>
        <w:szCs w:val="18"/>
      </w:rPr>
      <w:t xml:space="preserve"> – AIOH Conference Package Award</w:t>
    </w:r>
  </w:p>
  <w:p w:rsidR="00C848BB" w:rsidRDefault="00B16A5D" w:rsidP="00B16A5D">
    <w:pPr>
      <w:pStyle w:val="Header"/>
      <w:tabs>
        <w:tab w:val="clear" w:pos="9026"/>
        <w:tab w:val="left" w:pos="795"/>
        <w:tab w:val="left" w:pos="1200"/>
        <w:tab w:val="right" w:pos="10064"/>
      </w:tabs>
      <w:rPr>
        <w:sz w:val="18"/>
        <w:szCs w:val="18"/>
      </w:rPr>
    </w:pPr>
    <w:r>
      <w:rPr>
        <w:sz w:val="18"/>
        <w:szCs w:val="18"/>
      </w:rPr>
      <w:tab/>
    </w:r>
    <w:r>
      <w:rPr>
        <w:sz w:val="18"/>
        <w:szCs w:val="18"/>
      </w:rPr>
      <w:tab/>
    </w:r>
    <w:r>
      <w:rPr>
        <w:sz w:val="18"/>
        <w:szCs w:val="18"/>
      </w:rPr>
      <w:tab/>
    </w:r>
    <w:r>
      <w:rPr>
        <w:sz w:val="18"/>
        <w:szCs w:val="18"/>
      </w:rPr>
      <w:tab/>
    </w:r>
    <w:r w:rsidR="00C848BB" w:rsidRPr="00736349">
      <w:rPr>
        <w:sz w:val="18"/>
        <w:szCs w:val="18"/>
      </w:rPr>
      <w:t>Guideline for Applicants</w:t>
    </w:r>
  </w:p>
  <w:p w:rsidR="00B16A5D" w:rsidRPr="00736349" w:rsidRDefault="00B16A5D" w:rsidP="00B7160B">
    <w:pPr>
      <w:pStyle w:val="Header"/>
      <w:tabs>
        <w:tab w:val="clear" w:pos="9026"/>
        <w:tab w:val="left" w:pos="795"/>
        <w:tab w:val="right" w:pos="10064"/>
      </w:tabs>
      <w:rPr>
        <w:sz w:val="18"/>
        <w:szCs w:val="18"/>
      </w:rPr>
    </w:pPr>
  </w:p>
  <w:p w:rsidR="00C848BB" w:rsidRPr="00736349" w:rsidRDefault="00C848BB" w:rsidP="00C848BB">
    <w:pPr>
      <w:pStyle w:val="Header"/>
      <w:jc w:val="right"/>
      <w:rPr>
        <w:sz w:val="18"/>
        <w:szCs w:val="18"/>
      </w:rPr>
    </w:pPr>
  </w:p>
  <w:p w:rsidR="00C848BB" w:rsidRPr="00C848BB" w:rsidRDefault="00C848BB" w:rsidP="00C84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4948"/>
    <w:multiLevelType w:val="hybridMultilevel"/>
    <w:tmpl w:val="B30C5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2E5608"/>
    <w:multiLevelType w:val="hybridMultilevel"/>
    <w:tmpl w:val="5B9AB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8228F9"/>
    <w:multiLevelType w:val="hybridMultilevel"/>
    <w:tmpl w:val="0F4AD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033067"/>
    <w:multiLevelType w:val="hybridMultilevel"/>
    <w:tmpl w:val="D23AB084"/>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DAD3EED"/>
    <w:multiLevelType w:val="hybridMultilevel"/>
    <w:tmpl w:val="72AA4DC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5E911CE"/>
    <w:multiLevelType w:val="hybridMultilevel"/>
    <w:tmpl w:val="58BC7D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83E7CA9"/>
    <w:multiLevelType w:val="hybridMultilevel"/>
    <w:tmpl w:val="664CC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AF1E0C"/>
    <w:multiLevelType w:val="hybridMultilevel"/>
    <w:tmpl w:val="AD949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CB23664"/>
    <w:multiLevelType w:val="hybridMultilevel"/>
    <w:tmpl w:val="AE2C6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6DB5374"/>
    <w:multiLevelType w:val="hybridMultilevel"/>
    <w:tmpl w:val="90963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9AE32FC"/>
    <w:multiLevelType w:val="hybridMultilevel"/>
    <w:tmpl w:val="92EC0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C7F3CFF"/>
    <w:multiLevelType w:val="hybridMultilevel"/>
    <w:tmpl w:val="17A8D140"/>
    <w:lvl w:ilvl="0" w:tplc="8474ED74">
      <w:numFmt w:val="bullet"/>
      <w:lvlText w:val="-"/>
      <w:lvlJc w:val="left"/>
      <w:pPr>
        <w:ind w:left="720" w:hanging="360"/>
      </w:pPr>
      <w:rPr>
        <w:rFonts w:ascii="Calibri" w:eastAsiaTheme="minorHAnsi" w:hAnsi="Calibri" w:cs="Calibri" w:hint="default"/>
        <w:b/>
        <w:color w:val="FFFFFF" w:themeColor="background1"/>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5580BDE"/>
    <w:multiLevelType w:val="hybridMultilevel"/>
    <w:tmpl w:val="0F56D930"/>
    <w:lvl w:ilvl="0" w:tplc="D834C8E0">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2"/>
  </w:num>
  <w:num w:numId="3">
    <w:abstractNumId w:val="2"/>
  </w:num>
  <w:num w:numId="4">
    <w:abstractNumId w:val="3"/>
  </w:num>
  <w:num w:numId="5">
    <w:abstractNumId w:val="8"/>
  </w:num>
  <w:num w:numId="6">
    <w:abstractNumId w:val="10"/>
  </w:num>
  <w:num w:numId="7">
    <w:abstractNumId w:val="5"/>
  </w:num>
  <w:num w:numId="8">
    <w:abstractNumId w:val="9"/>
  </w:num>
  <w:num w:numId="9">
    <w:abstractNumId w:val="6"/>
  </w:num>
  <w:num w:numId="10">
    <w:abstractNumId w:val="7"/>
  </w:num>
  <w:num w:numId="11">
    <w:abstractNumId w:val="1"/>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F5"/>
    <w:rsid w:val="000D3B69"/>
    <w:rsid w:val="00115DF1"/>
    <w:rsid w:val="001320F5"/>
    <w:rsid w:val="00147971"/>
    <w:rsid w:val="00153706"/>
    <w:rsid w:val="002E7EAC"/>
    <w:rsid w:val="00324ED7"/>
    <w:rsid w:val="003265CB"/>
    <w:rsid w:val="003B1014"/>
    <w:rsid w:val="003B46EA"/>
    <w:rsid w:val="00410AA9"/>
    <w:rsid w:val="004257EC"/>
    <w:rsid w:val="004464AB"/>
    <w:rsid w:val="005009DF"/>
    <w:rsid w:val="00557441"/>
    <w:rsid w:val="005A65C6"/>
    <w:rsid w:val="005D1962"/>
    <w:rsid w:val="005D4346"/>
    <w:rsid w:val="00604BE3"/>
    <w:rsid w:val="00613E59"/>
    <w:rsid w:val="00650512"/>
    <w:rsid w:val="00652120"/>
    <w:rsid w:val="006754B1"/>
    <w:rsid w:val="00686C56"/>
    <w:rsid w:val="006A10EA"/>
    <w:rsid w:val="006D6CF2"/>
    <w:rsid w:val="00736349"/>
    <w:rsid w:val="00773505"/>
    <w:rsid w:val="007B1694"/>
    <w:rsid w:val="007E3AD2"/>
    <w:rsid w:val="007E4937"/>
    <w:rsid w:val="00801E29"/>
    <w:rsid w:val="0082359A"/>
    <w:rsid w:val="0085266E"/>
    <w:rsid w:val="00892CF5"/>
    <w:rsid w:val="008C3F4B"/>
    <w:rsid w:val="008F72D2"/>
    <w:rsid w:val="0090085A"/>
    <w:rsid w:val="009339C3"/>
    <w:rsid w:val="009947E7"/>
    <w:rsid w:val="00A3401E"/>
    <w:rsid w:val="00A56A25"/>
    <w:rsid w:val="00B16A5D"/>
    <w:rsid w:val="00B2034A"/>
    <w:rsid w:val="00B54F8E"/>
    <w:rsid w:val="00B56093"/>
    <w:rsid w:val="00B7160B"/>
    <w:rsid w:val="00B830C7"/>
    <w:rsid w:val="00BC79AD"/>
    <w:rsid w:val="00BD7950"/>
    <w:rsid w:val="00BE167B"/>
    <w:rsid w:val="00BE1C59"/>
    <w:rsid w:val="00C2183F"/>
    <w:rsid w:val="00C81DF1"/>
    <w:rsid w:val="00C848BB"/>
    <w:rsid w:val="00D00656"/>
    <w:rsid w:val="00D2046A"/>
    <w:rsid w:val="00D23FF7"/>
    <w:rsid w:val="00D86204"/>
    <w:rsid w:val="00DB5CB6"/>
    <w:rsid w:val="00DB7921"/>
    <w:rsid w:val="00DE533F"/>
    <w:rsid w:val="00DF19F7"/>
    <w:rsid w:val="00E074F6"/>
    <w:rsid w:val="00E63EAD"/>
    <w:rsid w:val="00EA0A7B"/>
    <w:rsid w:val="00ED79E7"/>
    <w:rsid w:val="00F214E8"/>
    <w:rsid w:val="00FA252E"/>
    <w:rsid w:val="00FD7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382DA2-34EF-4C87-B772-F66C5EE1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59A"/>
    <w:rPr>
      <w:color w:val="0563C1" w:themeColor="hyperlink"/>
      <w:u w:val="single"/>
    </w:rPr>
  </w:style>
  <w:style w:type="paragraph" w:styleId="ListParagraph">
    <w:name w:val="List Paragraph"/>
    <w:basedOn w:val="Normal"/>
    <w:link w:val="ListParagraphChar"/>
    <w:uiPriority w:val="34"/>
    <w:qFormat/>
    <w:rsid w:val="0082359A"/>
    <w:pPr>
      <w:ind w:left="720"/>
      <w:contextualSpacing/>
    </w:pPr>
  </w:style>
  <w:style w:type="paragraph" w:styleId="Header">
    <w:name w:val="header"/>
    <w:basedOn w:val="Normal"/>
    <w:link w:val="HeaderChar"/>
    <w:uiPriority w:val="99"/>
    <w:unhideWhenUsed/>
    <w:rsid w:val="00FA2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52E"/>
  </w:style>
  <w:style w:type="paragraph" w:styleId="Footer">
    <w:name w:val="footer"/>
    <w:basedOn w:val="Normal"/>
    <w:link w:val="FooterChar"/>
    <w:uiPriority w:val="99"/>
    <w:unhideWhenUsed/>
    <w:rsid w:val="00FA2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52E"/>
  </w:style>
  <w:style w:type="table" w:styleId="TableGrid">
    <w:name w:val="Table Grid"/>
    <w:basedOn w:val="TableNormal"/>
    <w:uiPriority w:val="39"/>
    <w:rsid w:val="00650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F21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ioh.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Viva Energy Australia</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Raelene N</dc:creator>
  <cp:keywords/>
  <dc:description/>
  <cp:lastModifiedBy>Alan</cp:lastModifiedBy>
  <cp:revision>15</cp:revision>
  <dcterms:created xsi:type="dcterms:W3CDTF">2017-08-13T03:10:00Z</dcterms:created>
  <dcterms:modified xsi:type="dcterms:W3CDTF">2018-07-31T04:22:00Z</dcterms:modified>
</cp:coreProperties>
</file>